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lang w:eastAsia="zh-CN"/>
        </w:rPr>
        <w:t>宁波金博新材料科技有限公司</w:t>
      </w:r>
      <w:r>
        <w:rPr>
          <w:rFonts w:hint="eastAsia" w:ascii="宋体" w:hAnsi="宋体" w:eastAsia="宋体" w:cs="宋体"/>
          <w:b/>
          <w:bCs/>
          <w:sz w:val="32"/>
          <w:szCs w:val="32"/>
          <w:lang w:val="en-US" w:eastAsia="zh-CN"/>
        </w:rPr>
        <w:t>破产清算案件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虚假申报债权法律风险告知书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宁波市鄞州区人民法院已于2022年12月26日裁定受理宁波金博新材料科技有限公司（“金博公司”）破产清算一案[（2022）浙0212破申126号]，并于2023年1月5日指定浙江甬泰律师事务所为该破产清算案件的管理人（“管理人”）[（2022）浙0212破101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根据最高人民法院、最高人民检察院《关于办理虚假诉讼刑事案件适用法律若干问题的解释》（法释</w:t>
      </w:r>
      <w:r>
        <w:rPr>
          <w:rFonts w:hint="eastAsia" w:ascii="宋体" w:hAnsi="宋体" w:eastAsia="宋体" w:cs="宋体"/>
          <w:b w:val="0"/>
          <w:bCs w:val="0"/>
          <w:color w:val="auto"/>
          <w:sz w:val="28"/>
          <w:szCs w:val="28"/>
          <w:lang w:val="en-US" w:eastAsia="zh-CN"/>
        </w:rPr>
        <w:t>〔2018〕</w:t>
      </w:r>
      <w:r>
        <w:rPr>
          <w:rFonts w:hint="eastAsia" w:ascii="宋体" w:hAnsi="宋体" w:eastAsia="宋体" w:cs="宋体"/>
          <w:sz w:val="28"/>
          <w:szCs w:val="28"/>
          <w:lang w:val="en-US" w:eastAsia="zh-CN"/>
        </w:rPr>
        <w:t>17号）第一条的相关规定，债权人在破产案件审理过程中申报捏造的债权的，应当认定为《刑法》第三百零七条之一，构成虚假诉讼罪。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现管理人将相关法律法规告知你（单位），望你（单位）如实申报，杜绝申报虚假债权或提供虚假申报资料，如已申报的债权存在上述问题的，请尽早撤回，以免承担相关法律责任。</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eastAsia="zh-CN"/>
        </w:rPr>
        <w:t>宁波金博新材料科技有限公司</w:t>
      </w:r>
      <w:r>
        <w:rPr>
          <w:rFonts w:hint="eastAsia" w:ascii="宋体" w:hAnsi="宋体" w:eastAsia="宋体" w:cs="宋体"/>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                            202</w:t>
      </w:r>
      <w:r>
        <w:rPr>
          <w:rFonts w:hint="default" w:ascii="宋体" w:hAnsi="宋体" w:eastAsia="宋体" w:cs="宋体"/>
          <w:kern w:val="0"/>
          <w:sz w:val="28"/>
          <w:szCs w:val="28"/>
          <w:highlight w:val="none"/>
          <w:lang w:eastAsia="zh-CN"/>
        </w:rPr>
        <w:t>3</w:t>
      </w:r>
      <w:r>
        <w:rPr>
          <w:rFonts w:hint="eastAsia" w:ascii="宋体" w:hAnsi="宋体" w:eastAsia="宋体" w:cs="宋体"/>
          <w:kern w:val="0"/>
          <w:sz w:val="28"/>
          <w:szCs w:val="28"/>
          <w:highlight w:val="none"/>
          <w:lang w:val="en-US" w:eastAsia="zh-CN"/>
        </w:rPr>
        <w:t>年1月</w:t>
      </w:r>
      <w:r>
        <w:rPr>
          <w:rFonts w:hint="default" w:ascii="宋体" w:hAnsi="宋体" w:eastAsia="宋体" w:cs="宋体"/>
          <w:kern w:val="0"/>
          <w:sz w:val="28"/>
          <w:szCs w:val="28"/>
          <w:highlight w:val="none"/>
          <w:lang w:eastAsia="zh-CN"/>
        </w:rPr>
        <w:t>11</w:t>
      </w:r>
      <w:bookmarkStart w:id="0" w:name="_GoBack"/>
      <w:bookmarkEnd w:id="0"/>
      <w:r>
        <w:rPr>
          <w:rFonts w:hint="eastAsia" w:ascii="宋体" w:hAnsi="宋体" w:eastAsia="宋体" w:cs="宋体"/>
          <w:kern w:val="0"/>
          <w:sz w:val="28"/>
          <w:szCs w:val="28"/>
          <w:highlight w:val="none"/>
          <w:lang w:val="en-US" w:eastAsia="zh-CN"/>
        </w:rPr>
        <w:t>日</w:t>
      </w:r>
    </w:p>
    <w:p>
      <w:pP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【法律依据】</w:t>
      </w:r>
    </w:p>
    <w:p>
      <w:pPr>
        <w:keepNext w:val="0"/>
        <w:keepLines w:val="0"/>
        <w:pageBreakBefore w:val="0"/>
        <w:widowControl w:val="0"/>
        <w:kinsoku/>
        <w:wordWrap/>
        <w:overflowPunct/>
        <w:topLinePunct w:val="0"/>
        <w:autoSpaceDE/>
        <w:autoSpaceDN/>
        <w:bidi w:val="0"/>
        <w:adjustRightInd/>
        <w:snapToGrid/>
        <w:spacing w:line="550" w:lineRule="exact"/>
        <w:ind w:firstLine="561"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《中华人民共和国刑法》</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第三百零七条之一 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《最高人民法院、最高人民检察院关于办理虚假诉讼刑事案件适用法律若干问题的解释》</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第一条 采取伪造证据、虚假陈述等手段，实施下列行为之一，捏造民事法律关系，虚构民事纠纷，向人民法院提起民事诉讼的，应当认定为刑法第三百零七条之一第一款规定的“以捏造的事实提起民事诉讼”：</w:t>
      </w:r>
      <w:r>
        <w:rPr>
          <w:rFonts w:hint="eastAsia" w:ascii="宋体" w:hAnsi="宋体" w:eastAsia="宋体" w:cs="宋体"/>
          <w:kern w:val="0"/>
          <w:sz w:val="28"/>
          <w:szCs w:val="28"/>
          <w:highlight w:val="none"/>
          <w:lang w:val="en-US" w:eastAsia="zh-CN"/>
        </w:rPr>
        <w:br w:type="textWrapping"/>
      </w:r>
      <w:r>
        <w:rPr>
          <w:rFonts w:hint="eastAsia" w:ascii="宋体" w:hAnsi="宋体" w:eastAsia="宋体" w:cs="宋体"/>
          <w:kern w:val="0"/>
          <w:sz w:val="28"/>
          <w:szCs w:val="28"/>
          <w:highlight w:val="none"/>
          <w:lang w:val="en-US" w:eastAsia="zh-CN"/>
        </w:rPr>
        <w:t xml:space="preserve">    （一）与夫妻一方恶意串通，捏造夫妻共同债务的；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（二）与他人恶意串通，捏造债权债务关系和以物抵债协议的；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（三）与公司、企业的法定代表人、董事、监事、经理或者其他管理人员恶意串通，捏造公司、企业债务或者担保义务的；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（四）捏造知识产权侵权关系或者不正当竞争关系的；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1" w:firstLineChars="200"/>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（五）在破产案件审理过程中申报捏造的债权的；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（六）与被执行人恶意串通，捏造债权或者对查封、扣押、冻结财产的优先权、担保物权的；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560"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（七）单方或者与他人恶意串通，捏造身份、合同、侵权、继承等民事法律关系的其他行为。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DMxYjlhZDkzN2ViM2E1NDQ0ZGNiZmE0MGE1ZjIifQ=="/>
  </w:docVars>
  <w:rsids>
    <w:rsidRoot w:val="00000000"/>
    <w:rsid w:val="04A417CE"/>
    <w:rsid w:val="0E6D1BFC"/>
    <w:rsid w:val="178F2C1A"/>
    <w:rsid w:val="306817FF"/>
    <w:rsid w:val="3E803FCB"/>
    <w:rsid w:val="4D132C1C"/>
    <w:rsid w:val="670E4BC6"/>
    <w:rsid w:val="77676CAF"/>
    <w:rsid w:val="78FD2624"/>
    <w:rsid w:val="B97FA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841</Words>
  <Characters>853</Characters>
  <Lines>0</Lines>
  <Paragraphs>0</Paragraphs>
  <ScaleCrop>false</ScaleCrop>
  <LinksUpToDate>false</LinksUpToDate>
  <CharactersWithSpaces>886</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2022-01-25T04:41:00Z</dcterms:created>
  <dc:creator>33</dc:creator>
  <cp:lastModifiedBy>xia</cp:lastModifiedBy>
  <dcterms:modified xsi:type="dcterms:W3CDTF">2023-01-12T16:58:07Z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4BEA59C3C7944AA189EB8E69D8308458</vt:lpwstr>
  </property>
</Properties>
</file>