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default" w:ascii="宋体" w:hAnsi="宋体" w:eastAsia="宋体" w:cs="宋体"/>
          <w:b/>
          <w:bCs/>
          <w:sz w:val="32"/>
          <w:szCs w:val="32"/>
          <w:lang w:eastAsia="zh-CN"/>
        </w:rPr>
        <w:t>浙江君安装饰工程有限公司</w:t>
      </w:r>
      <w:r>
        <w:rPr>
          <w:rFonts w:hint="eastAsia" w:ascii="宋体" w:hAnsi="宋体" w:eastAsia="宋体" w:cs="宋体"/>
          <w:b/>
          <w:bCs/>
          <w:sz w:val="32"/>
          <w:szCs w:val="32"/>
          <w:lang w:val="en-US" w:eastAsia="zh-CN"/>
        </w:rPr>
        <w:t>破产清算案件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b/>
          <w:bCs/>
          <w:sz w:val="32"/>
          <w:szCs w:val="32"/>
          <w:lang w:val="en-US" w:eastAsia="zh-CN"/>
        </w:rPr>
        <w:t>虚假申报债权法律风险告知书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宁波市鄞州区人民法院根据屠荣华的申请，于2022年12月6日裁定受理浙江君安装饰工程有限公司（“君安公司”）破产清算一案[（2022）浙0212破申69号]，并于同日指定浙江甬泰律师事务所为该破产清算案件的管理人（“管理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根据最高人民法院、最高人民检察院《关于办理虚假诉讼刑事案件适用法律若干问题的解释》（法释</w:t>
      </w:r>
      <w:r>
        <w:rPr>
          <w:rFonts w:hint="eastAsia" w:ascii="宋体" w:hAnsi="宋体" w:eastAsia="宋体" w:cs="宋体"/>
          <w:b w:val="0"/>
          <w:bCs w:val="0"/>
          <w:color w:val="auto"/>
          <w:sz w:val="28"/>
          <w:szCs w:val="28"/>
          <w:lang w:val="en-US" w:eastAsia="zh-CN"/>
        </w:rPr>
        <w:t>〔2018〕</w:t>
      </w:r>
      <w:r>
        <w:rPr>
          <w:rFonts w:hint="eastAsia" w:ascii="宋体" w:hAnsi="宋体" w:eastAsia="宋体" w:cs="宋体"/>
          <w:sz w:val="28"/>
          <w:szCs w:val="28"/>
          <w:lang w:val="en-US" w:eastAsia="zh-CN"/>
        </w:rPr>
        <w:t>17号）第一条的相关规定，债权人在破产案件审理过程中申报捏造的债权的，应当认定为《刑法》第三百零七条之一，构成虚假诉讼罪。</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现管理人将相关法律法规告知你（单位），望你（单位）如实申报，杜绝申报虚假债权或提供虚假申报资料，如已申报的债权存在上述问题的，请尽早撤回，以免承担相关法律责任。</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8"/>
          <w:szCs w:val="28"/>
          <w:lang w:val="en-US" w:eastAsia="zh-CN"/>
        </w:rPr>
      </w:pPr>
      <w:r>
        <w:rPr>
          <w:rFonts w:hint="default" w:ascii="宋体" w:hAnsi="宋体" w:eastAsia="宋体" w:cs="宋体"/>
          <w:sz w:val="28"/>
          <w:szCs w:val="28"/>
          <w:lang w:eastAsia="zh-CN"/>
        </w:rPr>
        <w:t>浙江君安装饰工程有限公司</w:t>
      </w:r>
      <w:r>
        <w:rPr>
          <w:rFonts w:hint="eastAsia" w:ascii="宋体" w:hAnsi="宋体" w:eastAsia="宋体" w:cs="宋体"/>
          <w:sz w:val="28"/>
          <w:szCs w:val="28"/>
          <w:lang w:val="en-US" w:eastAsia="zh-CN"/>
        </w:rPr>
        <w:t>管理人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 xml:space="preserve">                            202</w:t>
      </w:r>
      <w:r>
        <w:rPr>
          <w:rFonts w:hint="default" w:ascii="宋体" w:hAnsi="宋体" w:eastAsia="宋体" w:cs="宋体"/>
          <w:kern w:val="0"/>
          <w:sz w:val="28"/>
          <w:szCs w:val="28"/>
          <w:highlight w:val="none"/>
          <w:lang w:eastAsia="zh-CN"/>
        </w:rPr>
        <w:t>3</w:t>
      </w:r>
      <w:r>
        <w:rPr>
          <w:rFonts w:hint="eastAsia" w:ascii="宋体" w:hAnsi="宋体" w:eastAsia="宋体" w:cs="宋体"/>
          <w:kern w:val="0"/>
          <w:sz w:val="28"/>
          <w:szCs w:val="28"/>
          <w:highlight w:val="none"/>
          <w:lang w:val="en-US" w:eastAsia="zh-CN"/>
        </w:rPr>
        <w:t>年1月</w:t>
      </w:r>
      <w:r>
        <w:rPr>
          <w:rFonts w:hint="default" w:ascii="宋体" w:hAnsi="宋体" w:eastAsia="宋体" w:cs="宋体"/>
          <w:kern w:val="0"/>
          <w:sz w:val="28"/>
          <w:szCs w:val="28"/>
          <w:highlight w:val="none"/>
          <w:lang w:eastAsia="zh-CN"/>
        </w:rPr>
        <w:t>4</w:t>
      </w:r>
      <w:bookmarkStart w:id="0" w:name="_GoBack"/>
      <w:bookmarkEnd w:id="0"/>
      <w:r>
        <w:rPr>
          <w:rFonts w:hint="eastAsia" w:ascii="宋体" w:hAnsi="宋体" w:eastAsia="宋体" w:cs="宋体"/>
          <w:kern w:val="0"/>
          <w:sz w:val="28"/>
          <w:szCs w:val="28"/>
          <w:highlight w:val="none"/>
          <w:lang w:val="en-US" w:eastAsia="zh-CN"/>
        </w:rPr>
        <w:t>日</w:t>
      </w:r>
    </w:p>
    <w:p>
      <w:pP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【法律依据】</w:t>
      </w:r>
    </w:p>
    <w:p>
      <w:pPr>
        <w:keepNext w:val="0"/>
        <w:keepLines w:val="0"/>
        <w:pageBreakBefore w:val="0"/>
        <w:widowControl w:val="0"/>
        <w:kinsoku/>
        <w:wordWrap/>
        <w:overflowPunct/>
        <w:topLinePunct w:val="0"/>
        <w:autoSpaceDE/>
        <w:autoSpaceDN/>
        <w:bidi w:val="0"/>
        <w:adjustRightInd/>
        <w:snapToGrid/>
        <w:spacing w:line="550" w:lineRule="exact"/>
        <w:ind w:firstLine="561" w:firstLineChars="200"/>
        <w:textAlignment w:val="auto"/>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《中华人民共和国刑法》</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第三百零七条之一 以捏造的事实提起民事诉讼，妨害司法秩序或者严重侵害他人合法权益的，处三年以下有期徒刑、拘役或者管制，并处或者单处罚金；情节严重的，处三年以上七年以下有期徒刑，并处罚金。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50" w:lineRule="exact"/>
        <w:ind w:firstLine="420"/>
        <w:textAlignment w:val="auto"/>
        <w:rPr>
          <w:rFonts w:hint="eastAsia" w:ascii="宋体" w:hAnsi="宋体" w:eastAsia="宋体" w:cs="宋体"/>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420"/>
        <w:textAlignment w:val="auto"/>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《最高人民法院、最高人民检察院关于办理虚假诉讼刑事案件适用法律若干问题的解释》</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第一条 采取伪造证据、虚假陈述等手段，实施下列行为之一，捏造民事法律关系，虚构民事纠纷，向人民法院提起民事诉讼的，应当认定为刑法第三百零七条之一第一款规定的“以捏造的事实提起民事诉讼”：</w:t>
      </w:r>
      <w:r>
        <w:rPr>
          <w:rFonts w:hint="eastAsia" w:ascii="宋体" w:hAnsi="宋体" w:eastAsia="宋体" w:cs="宋体"/>
          <w:kern w:val="0"/>
          <w:sz w:val="28"/>
          <w:szCs w:val="28"/>
          <w:highlight w:val="none"/>
          <w:lang w:val="en-US" w:eastAsia="zh-CN"/>
        </w:rPr>
        <w:br w:type="textWrapping"/>
      </w:r>
      <w:r>
        <w:rPr>
          <w:rFonts w:hint="eastAsia" w:ascii="宋体" w:hAnsi="宋体" w:eastAsia="宋体" w:cs="宋体"/>
          <w:kern w:val="0"/>
          <w:sz w:val="28"/>
          <w:szCs w:val="28"/>
          <w:highlight w:val="none"/>
          <w:lang w:val="en-US" w:eastAsia="zh-CN"/>
        </w:rPr>
        <w:t xml:space="preserve">    （一）与夫妻一方恶意串通，捏造夫妻共同债务的；</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（二）与他人恶意串通，捏造债权债务关系和以物抵债协议的；</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（三）与公司、企业的法定代表人、董事、监事、经理或者其他管理人员恶意串通，捏造公司、企业债务或者担保义务的；</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（四）捏造知识产权侵权关系或者不正当竞争关系的；</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561" w:firstLineChars="200"/>
        <w:textAlignment w:val="auto"/>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（五）在破产案件审理过程中申报捏造的债权的；</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（六）与被执行人恶意串通，捏造债权或者对查封、扣押、冻结财产的优先权、担保物权的；</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（七）单方或者与他人恶意串通，捏造身份、合同、侵权、继承等民事法律关系的其他行为。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NDMxYjlhZDkzN2ViM2E1NDQ0ZGNiZmE0MGE1ZjIifQ=="/>
  </w:docVars>
  <w:rsids>
    <w:rsidRoot w:val="00000000"/>
    <w:rsid w:val="04A417CE"/>
    <w:rsid w:val="0E6D1BFC"/>
    <w:rsid w:val="178F2C1A"/>
    <w:rsid w:val="306817FF"/>
    <w:rsid w:val="3E803FCB"/>
    <w:rsid w:val="4D132C1C"/>
    <w:rsid w:val="670E4BC6"/>
    <w:rsid w:val="77676CAF"/>
    <w:rsid w:val="78FD2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841</Words>
  <Characters>853</Characters>
  <Lines>0</Lines>
  <Paragraphs>0</Paragraphs>
  <TotalTime>0</TotalTime>
  <ScaleCrop>false</ScaleCrop>
  <LinksUpToDate>false</LinksUpToDate>
  <CharactersWithSpaces>886</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2022-01-24T20:41:00Z</dcterms:created>
  <dc:creator>33</dc:creator>
  <cp:lastModifiedBy>xia</cp:lastModifiedBy>
  <dcterms:modified xsi:type="dcterms:W3CDTF">2023-01-10T14:57:01Z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y fmtid="{D5CDD505-2E9C-101B-9397-08002B2CF9AE}" pid="3" name="ICV">
    <vt:lpwstr>4BEA59C3C7944AA189EB8E69D8308458</vt:lpwstr>
  </property>
</Properties>
</file>