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jc w:val="center"/>
        <w:textAlignment w:val="auto"/>
        <w:outlineLvl w:val="9"/>
        <w:rPr>
          <w:rFonts w:hint="eastAsia" w:ascii="宋体" w:hAnsi="宋体" w:eastAsia="宋体" w:cs="宋体"/>
          <w:sz w:val="2"/>
          <w:szCs w:val="2"/>
          <w:shd w:val="clear" w:color="auto" w:fill="FFFFFF"/>
        </w:rPr>
      </w:pPr>
      <w:r>
        <w:rPr>
          <w:rFonts w:hint="eastAsia" w:ascii="宋体" w:hAnsi="宋体" w:eastAsia="宋体" w:cs="宋体"/>
          <w:sz w:val="36"/>
          <w:szCs w:val="36"/>
          <w:shd w:val="clear" w:color="auto" w:fill="FFFFFF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jc w:val="center"/>
        <w:textAlignment w:val="auto"/>
        <w:outlineLvl w:val="9"/>
        <w:rPr>
          <w:rFonts w:hint="eastAsia" w:ascii="宋体" w:hAnsi="宋体" w:eastAsia="宋体" w:cs="宋体"/>
          <w:sz w:val="2"/>
          <w:szCs w:val="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浙江君安装饰工程有限公司管理人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宁波市鄞州区人民法院根据屠荣华的申请，于2022年12月6日裁定受理浙江君安装饰工程有限公司（“君安公司”）破产清算一案[（2022）浙0212破申69号]，并于同日指定浙江甬泰律师事务所为该破产清算案件的管理人（“管理人”），负责清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0" w:leftChars="100" w:right="0" w:rightChars="0" w:hanging="240" w:hanging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我方在得知上述信息后，依法向管理人申报债权，并在此承诺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" w:leftChars="53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、我方向管理人申报的债权所依据的法律文书、其他相关材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料和所述之事实均为真实有效。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二、就我方向管理人所申报之债权，在债务人及其他连带债务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人处所获清偿情况如下：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未获清偿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已获清偿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（注：若勾选“已获清偿”，则请于下文处填写所获清偿之金额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以及清偿人之名称）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清偿金额：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清偿人名称：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三、若我方所述之事实与管理人审查结果不一致的，则我方愿承担就此产生的不利法律后果。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360" w:firstLineChars="14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公司签章/个人签名：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840" w:firstLineChars="16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20" w:firstLineChars="1800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05"/>
    <w:rsid w:val="009F2F44"/>
    <w:rsid w:val="00E17B05"/>
    <w:rsid w:val="77FE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ScaleCrop>false</ScaleCrop>
  <LinksUpToDate>false</LinksUpToDate>
  <CharactersWithSpaces>435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2023-01-05T16:30:00Z</dcterms:created>
  <dc:creator>tong daisy</dc:creator>
  <cp:lastModifiedBy>xia</cp:lastModifiedBy>
  <dcterms:modified xsi:type="dcterms:W3CDTF">2023-01-10T15:01:05Z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